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B8" w:rsidRDefault="00CC7560"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w:t>
      </w:r>
      <w:r w:rsidR="00422963">
        <w:rPr>
          <w:rFonts w:ascii="Arial" w:hAnsi="Arial" w:cs="Arial"/>
          <w:bCs/>
          <w:spacing w:val="-3"/>
          <w:sz w:val="22"/>
          <w:szCs w:val="22"/>
        </w:rPr>
        <w:t>October 2012, the Premier announced an ‘open data revolution’ for the Queensland Government with an aim of releasing as much government data as possible to encourage the private sector to develop innovative new services and solutions for the State.</w:t>
      </w:r>
    </w:p>
    <w:p w:rsidR="00C54821" w:rsidRPr="00C54821" w:rsidRDefault="00C54821"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w:t>
      </w:r>
      <w:r w:rsidRPr="00C54821">
        <w:rPr>
          <w:rFonts w:ascii="Arial" w:hAnsi="Arial" w:cs="Arial"/>
          <w:sz w:val="22"/>
          <w:szCs w:val="22"/>
        </w:rPr>
        <w:t xml:space="preserve">o build the use of open data in the Queensland community, the Departmental Agency Open Data Strategies would be released publicly and be available on the Open Data portal </w:t>
      </w:r>
      <w:hyperlink r:id="rId7" w:history="1">
        <w:r w:rsidRPr="00C54821">
          <w:rPr>
            <w:rStyle w:val="Hyperlink"/>
            <w:rFonts w:ascii="Arial" w:hAnsi="Arial" w:cs="Arial"/>
            <w:sz w:val="22"/>
            <w:szCs w:val="22"/>
          </w:rPr>
          <w:t>www.qld.gov.au/data</w:t>
        </w:r>
      </w:hyperlink>
      <w:r w:rsidRPr="00C54821">
        <w:rPr>
          <w:rFonts w:ascii="Arial" w:hAnsi="Arial" w:cs="Arial"/>
          <w:sz w:val="22"/>
          <w:szCs w:val="22"/>
        </w:rPr>
        <w:t>.</w:t>
      </w:r>
    </w:p>
    <w:p w:rsidR="00CC7560" w:rsidRDefault="00740FB8"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Open Data Strategy includes a data release schedule which will provide certainty to business and the users of open data regarding when and how frequently data will be released by the Queensland Government.</w:t>
      </w:r>
    </w:p>
    <w:p w:rsidR="00740FB8" w:rsidRPr="00740FB8" w:rsidRDefault="00C54821" w:rsidP="00D6589B">
      <w:pPr>
        <w:numPr>
          <w:ilvl w:val="0"/>
          <w:numId w:val="1"/>
        </w:numPr>
        <w:tabs>
          <w:tab w:val="clear" w:pos="720"/>
          <w:tab w:val="num" w:pos="360"/>
        </w:tabs>
        <w:spacing w:before="240"/>
        <w:ind w:left="360"/>
        <w:jc w:val="both"/>
        <w:rPr>
          <w:rFonts w:ascii="Arial" w:hAnsi="Arial" w:cs="Arial"/>
          <w:bCs/>
          <w:spacing w:val="-3"/>
          <w:sz w:val="22"/>
          <w:szCs w:val="22"/>
        </w:rPr>
      </w:pPr>
      <w:r w:rsidRPr="00D0612D">
        <w:rPr>
          <w:rFonts w:ascii="Arial" w:hAnsi="Arial" w:cs="Arial"/>
          <w:bCs/>
          <w:spacing w:val="-3"/>
          <w:sz w:val="22"/>
          <w:szCs w:val="22"/>
          <w:u w:val="single"/>
        </w:rPr>
        <w:t>Cabinet noted</w:t>
      </w:r>
      <w:r>
        <w:rPr>
          <w:rFonts w:ascii="Arial" w:hAnsi="Arial" w:cs="Arial"/>
          <w:bCs/>
          <w:spacing w:val="-3"/>
          <w:sz w:val="22"/>
          <w:szCs w:val="22"/>
        </w:rPr>
        <w:t xml:space="preserve"> the Agency Open Data Strategies </w:t>
      </w:r>
      <w:r w:rsidR="009C5080">
        <w:rPr>
          <w:rFonts w:ascii="Arial" w:hAnsi="Arial" w:cs="Arial"/>
          <w:bCs/>
          <w:spacing w:val="-3"/>
          <w:sz w:val="22"/>
          <w:szCs w:val="22"/>
        </w:rPr>
        <w:t xml:space="preserve">to </w:t>
      </w:r>
      <w:r w:rsidR="00D0612D">
        <w:rPr>
          <w:rFonts w:ascii="Arial" w:hAnsi="Arial" w:cs="Arial"/>
          <w:bCs/>
          <w:spacing w:val="-3"/>
          <w:sz w:val="22"/>
          <w:szCs w:val="22"/>
        </w:rPr>
        <w:t>be publicly released.</w:t>
      </w:r>
    </w:p>
    <w:p w:rsidR="00732E22" w:rsidRPr="00D0612D" w:rsidRDefault="00D0612D" w:rsidP="009C5080">
      <w:pPr>
        <w:numPr>
          <w:ilvl w:val="0"/>
          <w:numId w:val="1"/>
        </w:numPr>
        <w:tabs>
          <w:tab w:val="clear" w:pos="720"/>
          <w:tab w:val="num" w:pos="360"/>
        </w:tabs>
        <w:spacing w:before="360"/>
        <w:ind w:left="357" w:hanging="357"/>
        <w:jc w:val="both"/>
        <w:rPr>
          <w:rFonts w:ascii="Arial" w:hAnsi="Arial" w:cs="Arial"/>
          <w:sz w:val="22"/>
          <w:szCs w:val="22"/>
        </w:rPr>
      </w:pPr>
      <w:r w:rsidRPr="00D0612D">
        <w:rPr>
          <w:rFonts w:ascii="Arial" w:hAnsi="Arial" w:cs="Arial"/>
          <w:bCs/>
          <w:i/>
          <w:spacing w:val="-3"/>
          <w:sz w:val="22"/>
          <w:szCs w:val="22"/>
          <w:u w:val="single"/>
        </w:rPr>
        <w:t>Attachments</w:t>
      </w:r>
      <w:r>
        <w:rPr>
          <w:rFonts w:ascii="Arial" w:hAnsi="Arial" w:cs="Arial"/>
          <w:bCs/>
          <w:spacing w:val="-3"/>
          <w:sz w:val="22"/>
          <w:szCs w:val="22"/>
        </w:rPr>
        <w:t>:</w:t>
      </w:r>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8" w:history="1">
        <w:r w:rsidR="009C5080" w:rsidRPr="00213F4C">
          <w:rPr>
            <w:rStyle w:val="Hyperlink"/>
            <w:rFonts w:ascii="Arial" w:hAnsi="Arial" w:cs="Arial"/>
            <w:sz w:val="22"/>
            <w:szCs w:val="22"/>
          </w:rPr>
          <w:t>Aboriginal and Torres Strait Islander and Multicultural Affairs</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9" w:history="1">
        <w:r w:rsidR="009C5080" w:rsidRPr="00213F4C">
          <w:rPr>
            <w:rStyle w:val="Hyperlink"/>
            <w:rFonts w:ascii="Arial" w:hAnsi="Arial" w:cs="Arial"/>
            <w:sz w:val="22"/>
            <w:szCs w:val="22"/>
          </w:rPr>
          <w:t>Agriculture, Fisheries and Forestry</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0" w:history="1">
        <w:r w:rsidR="009C5080" w:rsidRPr="00213F4C">
          <w:rPr>
            <w:rStyle w:val="Hyperlink"/>
            <w:rFonts w:ascii="Arial" w:hAnsi="Arial" w:cs="Arial"/>
            <w:sz w:val="22"/>
            <w:szCs w:val="22"/>
          </w:rPr>
          <w:t>Communities, Child Safety and Disability Services</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1" w:history="1">
        <w:r w:rsidR="009C5080" w:rsidRPr="00213F4C">
          <w:rPr>
            <w:rStyle w:val="Hyperlink"/>
            <w:rFonts w:ascii="Arial" w:hAnsi="Arial" w:cs="Arial"/>
            <w:sz w:val="22"/>
            <w:szCs w:val="22"/>
          </w:rPr>
          <w:t>Community Safety</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2" w:history="1">
        <w:r w:rsidR="009C5080" w:rsidRPr="00213F4C">
          <w:rPr>
            <w:rStyle w:val="Hyperlink"/>
            <w:rFonts w:ascii="Arial" w:hAnsi="Arial" w:cs="Arial"/>
            <w:sz w:val="22"/>
            <w:szCs w:val="22"/>
          </w:rPr>
          <w:t>Education, Training and Employment</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3" w:history="1">
        <w:r w:rsidR="009C5080" w:rsidRPr="00213F4C">
          <w:rPr>
            <w:rStyle w:val="Hyperlink"/>
            <w:rFonts w:ascii="Arial" w:hAnsi="Arial" w:cs="Arial"/>
            <w:sz w:val="22"/>
            <w:szCs w:val="22"/>
          </w:rPr>
          <w:t>Energy and Water Supply</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4" w:history="1">
        <w:r w:rsidR="009C5080" w:rsidRPr="00213F4C">
          <w:rPr>
            <w:rStyle w:val="Hyperlink"/>
            <w:rFonts w:ascii="Arial" w:hAnsi="Arial" w:cs="Arial"/>
            <w:sz w:val="22"/>
            <w:szCs w:val="22"/>
          </w:rPr>
          <w:t>Environment and Heritage Protection</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5" w:history="1">
        <w:r w:rsidR="009C5080" w:rsidRPr="00213F4C">
          <w:rPr>
            <w:rStyle w:val="Hyperlink"/>
            <w:rFonts w:ascii="Arial" w:hAnsi="Arial" w:cs="Arial"/>
            <w:sz w:val="22"/>
            <w:szCs w:val="22"/>
          </w:rPr>
          <w:t>Health</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6" w:history="1">
        <w:r w:rsidR="009C5080" w:rsidRPr="00213F4C">
          <w:rPr>
            <w:rStyle w:val="Hyperlink"/>
            <w:rFonts w:ascii="Arial" w:hAnsi="Arial" w:cs="Arial"/>
            <w:sz w:val="22"/>
            <w:szCs w:val="22"/>
          </w:rPr>
          <w:t>Housing and Public Works</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7" w:history="1">
        <w:r w:rsidR="009C5080" w:rsidRPr="00213F4C">
          <w:rPr>
            <w:rStyle w:val="Hyperlink"/>
            <w:rFonts w:ascii="Arial" w:hAnsi="Arial" w:cs="Arial"/>
            <w:sz w:val="22"/>
            <w:szCs w:val="22"/>
          </w:rPr>
          <w:t>Justice and Attorney-General</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8" w:history="1">
        <w:r w:rsidR="009C5080" w:rsidRPr="00213F4C">
          <w:rPr>
            <w:rStyle w:val="Hyperlink"/>
            <w:rFonts w:ascii="Arial" w:hAnsi="Arial" w:cs="Arial"/>
            <w:sz w:val="22"/>
            <w:szCs w:val="22"/>
          </w:rPr>
          <w:t>Local Government, Community Recovery and Resilience</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19" w:history="1">
        <w:r w:rsidR="009C5080" w:rsidRPr="00213F4C">
          <w:rPr>
            <w:rStyle w:val="Hyperlink"/>
            <w:rFonts w:ascii="Arial" w:hAnsi="Arial" w:cs="Arial"/>
            <w:sz w:val="22"/>
            <w:szCs w:val="22"/>
          </w:rPr>
          <w:t>National Parks, Recreation, Sport and Racing</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0" w:history="1">
        <w:r w:rsidR="009C5080" w:rsidRPr="00213F4C">
          <w:rPr>
            <w:rStyle w:val="Hyperlink"/>
            <w:rFonts w:ascii="Arial" w:hAnsi="Arial" w:cs="Arial"/>
            <w:sz w:val="22"/>
            <w:szCs w:val="22"/>
          </w:rPr>
          <w:t>Natural Resources and Mines</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1" w:history="1">
        <w:r w:rsidR="009C5080" w:rsidRPr="00213F4C">
          <w:rPr>
            <w:rStyle w:val="Hyperlink"/>
            <w:rFonts w:ascii="Arial" w:hAnsi="Arial" w:cs="Arial"/>
            <w:sz w:val="22"/>
            <w:szCs w:val="22"/>
          </w:rPr>
          <w:t>Police</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2" w:history="1">
        <w:r w:rsidR="009C5080" w:rsidRPr="00213F4C">
          <w:rPr>
            <w:rStyle w:val="Hyperlink"/>
            <w:rFonts w:ascii="Arial" w:hAnsi="Arial" w:cs="Arial"/>
            <w:sz w:val="22"/>
            <w:szCs w:val="22"/>
          </w:rPr>
          <w:t>Premier and Cabinet</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3" w:history="1">
        <w:r w:rsidR="009C5080" w:rsidRPr="00213F4C">
          <w:rPr>
            <w:rStyle w:val="Hyperlink"/>
            <w:rFonts w:ascii="Arial" w:hAnsi="Arial" w:cs="Arial"/>
            <w:sz w:val="22"/>
            <w:szCs w:val="22"/>
          </w:rPr>
          <w:t>Science, Information Technology, Innovation and the Arts</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4" w:history="1">
        <w:r w:rsidR="009C5080" w:rsidRPr="00213F4C">
          <w:rPr>
            <w:rStyle w:val="Hyperlink"/>
            <w:rFonts w:ascii="Arial" w:hAnsi="Arial" w:cs="Arial"/>
            <w:sz w:val="22"/>
            <w:szCs w:val="22"/>
          </w:rPr>
          <w:t>State Development, Infrastructure and Planning</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5" w:history="1">
        <w:r w:rsidR="009C5080" w:rsidRPr="00213F4C">
          <w:rPr>
            <w:rStyle w:val="Hyperlink"/>
            <w:rFonts w:ascii="Arial" w:hAnsi="Arial" w:cs="Arial"/>
            <w:sz w:val="22"/>
            <w:szCs w:val="22"/>
          </w:rPr>
          <w:t>Tourism, Major Events, Small Business and the Commonwealth Games</w:t>
        </w:r>
      </w:hyperlink>
    </w:p>
    <w:p w:rsidR="009C5080" w:rsidRPr="009C5080" w:rsidRDefault="00292D78" w:rsidP="009C5080">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6" w:history="1">
        <w:r w:rsidR="009C5080" w:rsidRPr="00213F4C">
          <w:rPr>
            <w:rStyle w:val="Hyperlink"/>
            <w:rFonts w:ascii="Arial" w:hAnsi="Arial" w:cs="Arial"/>
            <w:sz w:val="22"/>
            <w:szCs w:val="22"/>
          </w:rPr>
          <w:t>Transport and Main Roads</w:t>
        </w:r>
      </w:hyperlink>
    </w:p>
    <w:p w:rsidR="00D0612D" w:rsidRPr="007F4555" w:rsidRDefault="00292D78" w:rsidP="007F4555">
      <w:pPr>
        <w:numPr>
          <w:ilvl w:val="1"/>
          <w:numId w:val="1"/>
        </w:numPr>
        <w:tabs>
          <w:tab w:val="clear" w:pos="1443"/>
          <w:tab w:val="num" w:pos="720"/>
          <w:tab w:val="num" w:pos="851"/>
        </w:tabs>
        <w:spacing w:before="120"/>
        <w:ind w:left="850" w:hanging="425"/>
        <w:jc w:val="both"/>
        <w:rPr>
          <w:rFonts w:ascii="Arial" w:hAnsi="Arial" w:cs="Arial"/>
          <w:sz w:val="22"/>
          <w:szCs w:val="22"/>
        </w:rPr>
      </w:pPr>
      <w:hyperlink r:id="rId27" w:history="1">
        <w:r w:rsidR="009C5080" w:rsidRPr="00213F4C">
          <w:rPr>
            <w:rStyle w:val="Hyperlink"/>
            <w:rFonts w:ascii="Arial" w:hAnsi="Arial" w:cs="Arial"/>
            <w:sz w:val="22"/>
            <w:szCs w:val="22"/>
          </w:rPr>
          <w:t>Treasury and Trade</w:t>
        </w:r>
      </w:hyperlink>
    </w:p>
    <w:sectPr w:rsidR="00D0612D" w:rsidRPr="007F4555" w:rsidSect="005B6A04">
      <w:headerReference w:type="default" r:id="rId2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47" w:rsidRDefault="00030847" w:rsidP="00D6589B">
      <w:r>
        <w:separator/>
      </w:r>
    </w:p>
  </w:endnote>
  <w:endnote w:type="continuationSeparator" w:id="0">
    <w:p w:rsidR="00030847" w:rsidRDefault="0003084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47" w:rsidRDefault="00030847" w:rsidP="00D6589B">
      <w:r>
        <w:separator/>
      </w:r>
    </w:p>
  </w:footnote>
  <w:footnote w:type="continuationSeparator" w:id="0">
    <w:p w:rsidR="00030847" w:rsidRDefault="00030847"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080" w:rsidRPr="00937A4A" w:rsidRDefault="009C5080"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C5080" w:rsidRPr="00937A4A" w:rsidRDefault="009C5080"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C5080" w:rsidRPr="00937A4A" w:rsidRDefault="009C5080"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May 2013</w:t>
    </w:r>
  </w:p>
  <w:p w:rsidR="009C5080" w:rsidRPr="00A6092A" w:rsidRDefault="009C5080" w:rsidP="00D6589B">
    <w:pPr>
      <w:pStyle w:val="Header"/>
      <w:spacing w:before="120"/>
      <w:rPr>
        <w:rFonts w:ascii="Arial" w:hAnsi="Arial" w:cs="Arial"/>
        <w:b/>
        <w:sz w:val="22"/>
        <w:szCs w:val="22"/>
        <w:u w:val="single"/>
      </w:rPr>
    </w:pPr>
    <w:r w:rsidRPr="00A6092A">
      <w:rPr>
        <w:rFonts w:ascii="Arial" w:hAnsi="Arial" w:cs="Arial"/>
        <w:b/>
        <w:sz w:val="22"/>
        <w:szCs w:val="22"/>
        <w:u w:val="single"/>
      </w:rPr>
      <w:t>Agency Open Data Strategy release</w:t>
    </w:r>
  </w:p>
  <w:p w:rsidR="009C5080" w:rsidRDefault="009C5080" w:rsidP="00D6589B">
    <w:pPr>
      <w:pStyle w:val="Header"/>
      <w:spacing w:before="120"/>
      <w:rPr>
        <w:rFonts w:ascii="Arial" w:hAnsi="Arial" w:cs="Arial"/>
        <w:b/>
        <w:sz w:val="22"/>
        <w:szCs w:val="22"/>
        <w:u w:val="single"/>
      </w:rPr>
    </w:pPr>
    <w:r>
      <w:rPr>
        <w:rFonts w:ascii="Arial" w:hAnsi="Arial" w:cs="Arial"/>
        <w:b/>
        <w:sz w:val="22"/>
        <w:szCs w:val="22"/>
        <w:u w:val="single"/>
      </w:rPr>
      <w:t>Premier of Queensland</w:t>
    </w:r>
  </w:p>
  <w:p w:rsidR="009C5080" w:rsidRDefault="009C5080"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3427A"/>
    <w:multiLevelType w:val="multilevel"/>
    <w:tmpl w:val="1F6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C8B3BD2"/>
    <w:multiLevelType w:val="multilevel"/>
    <w:tmpl w:val="3080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176F87"/>
    <w:multiLevelType w:val="hybridMultilevel"/>
    <w:tmpl w:val="7F64A1C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F4"/>
    <w:rsid w:val="00030847"/>
    <w:rsid w:val="000633BF"/>
    <w:rsid w:val="00080F8F"/>
    <w:rsid w:val="0010384C"/>
    <w:rsid w:val="00174117"/>
    <w:rsid w:val="00213F4C"/>
    <w:rsid w:val="00292D78"/>
    <w:rsid w:val="00344805"/>
    <w:rsid w:val="003A3BDD"/>
    <w:rsid w:val="003D77F4"/>
    <w:rsid w:val="00422963"/>
    <w:rsid w:val="00435B3D"/>
    <w:rsid w:val="004D7B2F"/>
    <w:rsid w:val="004F1854"/>
    <w:rsid w:val="00501C66"/>
    <w:rsid w:val="00550873"/>
    <w:rsid w:val="00560F61"/>
    <w:rsid w:val="00574710"/>
    <w:rsid w:val="005B6A04"/>
    <w:rsid w:val="005C7D24"/>
    <w:rsid w:val="00624EEA"/>
    <w:rsid w:val="00640D10"/>
    <w:rsid w:val="006A6F9A"/>
    <w:rsid w:val="006B6991"/>
    <w:rsid w:val="007265D0"/>
    <w:rsid w:val="00732E22"/>
    <w:rsid w:val="00740FB8"/>
    <w:rsid w:val="00741C20"/>
    <w:rsid w:val="007B6E5D"/>
    <w:rsid w:val="007C4FBF"/>
    <w:rsid w:val="007F44F4"/>
    <w:rsid w:val="007F4555"/>
    <w:rsid w:val="008F0032"/>
    <w:rsid w:val="00904077"/>
    <w:rsid w:val="00937A4A"/>
    <w:rsid w:val="009C5080"/>
    <w:rsid w:val="00A46165"/>
    <w:rsid w:val="00A6092A"/>
    <w:rsid w:val="00B424F9"/>
    <w:rsid w:val="00B91545"/>
    <w:rsid w:val="00BF3DA4"/>
    <w:rsid w:val="00C5071B"/>
    <w:rsid w:val="00C54821"/>
    <w:rsid w:val="00C75E67"/>
    <w:rsid w:val="00CB1501"/>
    <w:rsid w:val="00CC7560"/>
    <w:rsid w:val="00CD7A50"/>
    <w:rsid w:val="00CF0D8A"/>
    <w:rsid w:val="00D0612D"/>
    <w:rsid w:val="00D6589B"/>
    <w:rsid w:val="00E54C11"/>
    <w:rsid w:val="00E54E36"/>
    <w:rsid w:val="00F45B99"/>
    <w:rsid w:val="00F55315"/>
    <w:rsid w:val="00FB5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Default">
    <w:name w:val="Default"/>
    <w:rsid w:val="00CC756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7560"/>
    <w:pPr>
      <w:ind w:left="720"/>
    </w:pPr>
  </w:style>
  <w:style w:type="character" w:styleId="Hyperlink">
    <w:name w:val="Hyperlink"/>
    <w:rsid w:val="00C54821"/>
    <w:rPr>
      <w:color w:val="0000FF"/>
      <w:u w:val="single"/>
    </w:rPr>
  </w:style>
  <w:style w:type="character" w:styleId="FollowedHyperlink">
    <w:name w:val="FollowedHyperlink"/>
    <w:uiPriority w:val="99"/>
    <w:semiHidden/>
    <w:unhideWhenUsed/>
    <w:rsid w:val="009C508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2672">
      <w:bodyDiv w:val="1"/>
      <w:marLeft w:val="0"/>
      <w:marRight w:val="0"/>
      <w:marTop w:val="0"/>
      <w:marBottom w:val="0"/>
      <w:divBdr>
        <w:top w:val="none" w:sz="0" w:space="0" w:color="auto"/>
        <w:left w:val="none" w:sz="0" w:space="0" w:color="auto"/>
        <w:bottom w:val="none" w:sz="0" w:space="0" w:color="auto"/>
        <w:right w:val="none" w:sz="0" w:space="0" w:color="auto"/>
      </w:divBdr>
      <w:divsChild>
        <w:div w:id="1813254196">
          <w:marLeft w:val="0"/>
          <w:marRight w:val="0"/>
          <w:marTop w:val="0"/>
          <w:marBottom w:val="0"/>
          <w:divBdr>
            <w:top w:val="none" w:sz="0" w:space="0" w:color="auto"/>
            <w:left w:val="none" w:sz="0" w:space="0" w:color="auto"/>
            <w:bottom w:val="none" w:sz="0" w:space="0" w:color="auto"/>
            <w:right w:val="none" w:sz="0" w:space="0" w:color="auto"/>
          </w:divBdr>
          <w:divsChild>
            <w:div w:id="1282415470">
              <w:marLeft w:val="0"/>
              <w:marRight w:val="0"/>
              <w:marTop w:val="0"/>
              <w:marBottom w:val="0"/>
              <w:divBdr>
                <w:top w:val="none" w:sz="0" w:space="0" w:color="auto"/>
                <w:left w:val="none" w:sz="0" w:space="0" w:color="auto"/>
                <w:bottom w:val="none" w:sz="0" w:space="0" w:color="auto"/>
                <w:right w:val="none" w:sz="0" w:space="0" w:color="auto"/>
              </w:divBdr>
              <w:divsChild>
                <w:div w:id="1480069960">
                  <w:marLeft w:val="0"/>
                  <w:marRight w:val="0"/>
                  <w:marTop w:val="0"/>
                  <w:marBottom w:val="0"/>
                  <w:divBdr>
                    <w:top w:val="none" w:sz="0" w:space="0" w:color="auto"/>
                    <w:left w:val="none" w:sz="0" w:space="0" w:color="auto"/>
                    <w:bottom w:val="none" w:sz="0" w:space="0" w:color="auto"/>
                    <w:right w:val="none" w:sz="0" w:space="0" w:color="auto"/>
                  </w:divBdr>
                  <w:divsChild>
                    <w:div w:id="1997369050">
                      <w:marLeft w:val="0"/>
                      <w:marRight w:val="0"/>
                      <w:marTop w:val="0"/>
                      <w:marBottom w:val="0"/>
                      <w:divBdr>
                        <w:top w:val="none" w:sz="0" w:space="0" w:color="auto"/>
                        <w:left w:val="none" w:sz="0" w:space="0" w:color="auto"/>
                        <w:bottom w:val="none" w:sz="0" w:space="0" w:color="auto"/>
                        <w:right w:val="none" w:sz="0" w:space="0" w:color="auto"/>
                      </w:divBdr>
                      <w:divsChild>
                        <w:div w:id="673916360">
                          <w:marLeft w:val="0"/>
                          <w:marRight w:val="0"/>
                          <w:marTop w:val="0"/>
                          <w:marBottom w:val="0"/>
                          <w:divBdr>
                            <w:top w:val="none" w:sz="0" w:space="0" w:color="auto"/>
                            <w:left w:val="none" w:sz="0" w:space="0" w:color="auto"/>
                            <w:bottom w:val="none" w:sz="0" w:space="0" w:color="auto"/>
                            <w:right w:val="none" w:sz="0" w:space="0" w:color="auto"/>
                          </w:divBdr>
                          <w:divsChild>
                            <w:div w:id="1399206723">
                              <w:marLeft w:val="0"/>
                              <w:marRight w:val="0"/>
                              <w:marTop w:val="0"/>
                              <w:marBottom w:val="0"/>
                              <w:divBdr>
                                <w:top w:val="none" w:sz="0" w:space="0" w:color="auto"/>
                                <w:left w:val="none" w:sz="0" w:space="0" w:color="auto"/>
                                <w:bottom w:val="none" w:sz="0" w:space="0" w:color="auto"/>
                                <w:right w:val="none" w:sz="0" w:space="0" w:color="auto"/>
                              </w:divBdr>
                              <w:divsChild>
                                <w:div w:id="851182968">
                                  <w:marLeft w:val="0"/>
                                  <w:marRight w:val="0"/>
                                  <w:marTop w:val="0"/>
                                  <w:marBottom w:val="0"/>
                                  <w:divBdr>
                                    <w:top w:val="none" w:sz="0" w:space="0" w:color="auto"/>
                                    <w:left w:val="none" w:sz="0" w:space="0" w:color="auto"/>
                                    <w:bottom w:val="none" w:sz="0" w:space="0" w:color="auto"/>
                                    <w:right w:val="none" w:sz="0" w:space="0" w:color="auto"/>
                                  </w:divBdr>
                                  <w:divsChild>
                                    <w:div w:id="1870532747">
                                      <w:marLeft w:val="0"/>
                                      <w:marRight w:val="0"/>
                                      <w:marTop w:val="0"/>
                                      <w:marBottom w:val="1"/>
                                      <w:divBdr>
                                        <w:top w:val="none" w:sz="0" w:space="0" w:color="auto"/>
                                        <w:left w:val="none" w:sz="0" w:space="0" w:color="auto"/>
                                        <w:bottom w:val="none" w:sz="0" w:space="0" w:color="auto"/>
                                        <w:right w:val="none" w:sz="0" w:space="0" w:color="auto"/>
                                      </w:divBdr>
                                      <w:divsChild>
                                        <w:div w:id="1309476977">
                                          <w:marLeft w:val="0"/>
                                          <w:marRight w:val="0"/>
                                          <w:marTop w:val="0"/>
                                          <w:marBottom w:val="0"/>
                                          <w:divBdr>
                                            <w:top w:val="none" w:sz="0" w:space="0" w:color="auto"/>
                                            <w:left w:val="none" w:sz="0" w:space="0" w:color="auto"/>
                                            <w:bottom w:val="none" w:sz="0" w:space="0" w:color="auto"/>
                                            <w:right w:val="none" w:sz="0" w:space="0" w:color="auto"/>
                                          </w:divBdr>
                                          <w:divsChild>
                                            <w:div w:id="767236270">
                                              <w:marLeft w:val="0"/>
                                              <w:marRight w:val="0"/>
                                              <w:marTop w:val="0"/>
                                              <w:marBottom w:val="0"/>
                                              <w:divBdr>
                                                <w:top w:val="none" w:sz="0" w:space="0" w:color="auto"/>
                                                <w:left w:val="none" w:sz="0" w:space="0" w:color="auto"/>
                                                <w:bottom w:val="none" w:sz="0" w:space="0" w:color="auto"/>
                                                <w:right w:val="none" w:sz="0" w:space="0" w:color="auto"/>
                                              </w:divBdr>
                                              <w:divsChild>
                                                <w:div w:id="1820269674">
                                                  <w:marLeft w:val="0"/>
                                                  <w:marRight w:val="0"/>
                                                  <w:marTop w:val="0"/>
                                                  <w:marBottom w:val="0"/>
                                                  <w:divBdr>
                                                    <w:top w:val="none" w:sz="0" w:space="0" w:color="auto"/>
                                                    <w:left w:val="none" w:sz="0" w:space="0" w:color="auto"/>
                                                    <w:bottom w:val="none" w:sz="0" w:space="0" w:color="auto"/>
                                                    <w:right w:val="none" w:sz="0" w:space="0" w:color="auto"/>
                                                  </w:divBdr>
                                                  <w:divsChild>
                                                    <w:div w:id="2060860993">
                                                      <w:marLeft w:val="0"/>
                                                      <w:marRight w:val="0"/>
                                                      <w:marTop w:val="0"/>
                                                      <w:marBottom w:val="0"/>
                                                      <w:divBdr>
                                                        <w:top w:val="none" w:sz="0" w:space="0" w:color="auto"/>
                                                        <w:left w:val="none" w:sz="0" w:space="0" w:color="auto"/>
                                                        <w:bottom w:val="none" w:sz="0" w:space="0" w:color="auto"/>
                                                        <w:right w:val="none" w:sz="0" w:space="0" w:color="auto"/>
                                                      </w:divBdr>
                                                      <w:divsChild>
                                                        <w:div w:id="4034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2158033">
      <w:bodyDiv w:val="1"/>
      <w:marLeft w:val="0"/>
      <w:marRight w:val="0"/>
      <w:marTop w:val="0"/>
      <w:marBottom w:val="0"/>
      <w:divBdr>
        <w:top w:val="none" w:sz="0" w:space="0" w:color="auto"/>
        <w:left w:val="none" w:sz="0" w:space="0" w:color="auto"/>
        <w:bottom w:val="none" w:sz="0" w:space="0" w:color="auto"/>
        <w:right w:val="none" w:sz="0" w:space="0" w:color="auto"/>
      </w:divBdr>
      <w:divsChild>
        <w:div w:id="1205751662">
          <w:marLeft w:val="0"/>
          <w:marRight w:val="0"/>
          <w:marTop w:val="0"/>
          <w:marBottom w:val="0"/>
          <w:divBdr>
            <w:top w:val="none" w:sz="0" w:space="0" w:color="auto"/>
            <w:left w:val="none" w:sz="0" w:space="0" w:color="auto"/>
            <w:bottom w:val="none" w:sz="0" w:space="0" w:color="auto"/>
            <w:right w:val="none" w:sz="0" w:space="0" w:color="auto"/>
          </w:divBdr>
          <w:divsChild>
            <w:div w:id="218907151">
              <w:marLeft w:val="0"/>
              <w:marRight w:val="0"/>
              <w:marTop w:val="0"/>
              <w:marBottom w:val="0"/>
              <w:divBdr>
                <w:top w:val="none" w:sz="0" w:space="0" w:color="auto"/>
                <w:left w:val="none" w:sz="0" w:space="0" w:color="auto"/>
                <w:bottom w:val="none" w:sz="0" w:space="0" w:color="auto"/>
                <w:right w:val="none" w:sz="0" w:space="0" w:color="auto"/>
              </w:divBdr>
              <w:divsChild>
                <w:div w:id="2028630555">
                  <w:marLeft w:val="0"/>
                  <w:marRight w:val="0"/>
                  <w:marTop w:val="0"/>
                  <w:marBottom w:val="0"/>
                  <w:divBdr>
                    <w:top w:val="none" w:sz="0" w:space="0" w:color="auto"/>
                    <w:left w:val="none" w:sz="0" w:space="0" w:color="auto"/>
                    <w:bottom w:val="none" w:sz="0" w:space="0" w:color="auto"/>
                    <w:right w:val="none" w:sz="0" w:space="0" w:color="auto"/>
                  </w:divBdr>
                  <w:divsChild>
                    <w:div w:id="2129008795">
                      <w:marLeft w:val="0"/>
                      <w:marRight w:val="0"/>
                      <w:marTop w:val="0"/>
                      <w:marBottom w:val="0"/>
                      <w:divBdr>
                        <w:top w:val="none" w:sz="0" w:space="0" w:color="auto"/>
                        <w:left w:val="none" w:sz="0" w:space="0" w:color="auto"/>
                        <w:bottom w:val="none" w:sz="0" w:space="0" w:color="auto"/>
                        <w:right w:val="none" w:sz="0" w:space="0" w:color="auto"/>
                      </w:divBdr>
                      <w:divsChild>
                        <w:div w:id="1753353100">
                          <w:marLeft w:val="0"/>
                          <w:marRight w:val="0"/>
                          <w:marTop w:val="0"/>
                          <w:marBottom w:val="0"/>
                          <w:divBdr>
                            <w:top w:val="none" w:sz="0" w:space="0" w:color="auto"/>
                            <w:left w:val="none" w:sz="0" w:space="0" w:color="auto"/>
                            <w:bottom w:val="none" w:sz="0" w:space="0" w:color="auto"/>
                            <w:right w:val="none" w:sz="0" w:space="0" w:color="auto"/>
                          </w:divBdr>
                          <w:divsChild>
                            <w:div w:id="1916164408">
                              <w:marLeft w:val="0"/>
                              <w:marRight w:val="0"/>
                              <w:marTop w:val="0"/>
                              <w:marBottom w:val="0"/>
                              <w:divBdr>
                                <w:top w:val="none" w:sz="0" w:space="0" w:color="auto"/>
                                <w:left w:val="none" w:sz="0" w:space="0" w:color="auto"/>
                                <w:bottom w:val="none" w:sz="0" w:space="0" w:color="auto"/>
                                <w:right w:val="none" w:sz="0" w:space="0" w:color="auto"/>
                              </w:divBdr>
                              <w:divsChild>
                                <w:div w:id="308631851">
                                  <w:marLeft w:val="0"/>
                                  <w:marRight w:val="0"/>
                                  <w:marTop w:val="0"/>
                                  <w:marBottom w:val="0"/>
                                  <w:divBdr>
                                    <w:top w:val="none" w:sz="0" w:space="0" w:color="auto"/>
                                    <w:left w:val="none" w:sz="0" w:space="0" w:color="auto"/>
                                    <w:bottom w:val="none" w:sz="0" w:space="0" w:color="auto"/>
                                    <w:right w:val="none" w:sz="0" w:space="0" w:color="auto"/>
                                  </w:divBdr>
                                  <w:divsChild>
                                    <w:div w:id="1784226091">
                                      <w:marLeft w:val="0"/>
                                      <w:marRight w:val="0"/>
                                      <w:marTop w:val="0"/>
                                      <w:marBottom w:val="1"/>
                                      <w:divBdr>
                                        <w:top w:val="none" w:sz="0" w:space="0" w:color="auto"/>
                                        <w:left w:val="none" w:sz="0" w:space="0" w:color="auto"/>
                                        <w:bottom w:val="none" w:sz="0" w:space="0" w:color="auto"/>
                                        <w:right w:val="none" w:sz="0" w:space="0" w:color="auto"/>
                                      </w:divBdr>
                                      <w:divsChild>
                                        <w:div w:id="128792172">
                                          <w:marLeft w:val="0"/>
                                          <w:marRight w:val="0"/>
                                          <w:marTop w:val="0"/>
                                          <w:marBottom w:val="0"/>
                                          <w:divBdr>
                                            <w:top w:val="none" w:sz="0" w:space="0" w:color="auto"/>
                                            <w:left w:val="none" w:sz="0" w:space="0" w:color="auto"/>
                                            <w:bottom w:val="none" w:sz="0" w:space="0" w:color="auto"/>
                                            <w:right w:val="none" w:sz="0" w:space="0" w:color="auto"/>
                                          </w:divBdr>
                                          <w:divsChild>
                                            <w:div w:id="2112431113">
                                              <w:marLeft w:val="0"/>
                                              <w:marRight w:val="0"/>
                                              <w:marTop w:val="0"/>
                                              <w:marBottom w:val="0"/>
                                              <w:divBdr>
                                                <w:top w:val="none" w:sz="0" w:space="0" w:color="auto"/>
                                                <w:left w:val="none" w:sz="0" w:space="0" w:color="auto"/>
                                                <w:bottom w:val="none" w:sz="0" w:space="0" w:color="auto"/>
                                                <w:right w:val="none" w:sz="0" w:space="0" w:color="auto"/>
                                              </w:divBdr>
                                              <w:divsChild>
                                                <w:div w:id="1147893234">
                                                  <w:marLeft w:val="0"/>
                                                  <w:marRight w:val="0"/>
                                                  <w:marTop w:val="0"/>
                                                  <w:marBottom w:val="0"/>
                                                  <w:divBdr>
                                                    <w:top w:val="none" w:sz="0" w:space="0" w:color="auto"/>
                                                    <w:left w:val="none" w:sz="0" w:space="0" w:color="auto"/>
                                                    <w:bottom w:val="none" w:sz="0" w:space="0" w:color="auto"/>
                                                    <w:right w:val="none" w:sz="0" w:space="0" w:color="auto"/>
                                                  </w:divBdr>
                                                  <w:divsChild>
                                                    <w:div w:id="1373844472">
                                                      <w:marLeft w:val="0"/>
                                                      <w:marRight w:val="0"/>
                                                      <w:marTop w:val="0"/>
                                                      <w:marBottom w:val="0"/>
                                                      <w:divBdr>
                                                        <w:top w:val="none" w:sz="0" w:space="0" w:color="auto"/>
                                                        <w:left w:val="none" w:sz="0" w:space="0" w:color="auto"/>
                                                        <w:bottom w:val="none" w:sz="0" w:space="0" w:color="auto"/>
                                                        <w:right w:val="none" w:sz="0" w:space="0" w:color="auto"/>
                                                      </w:divBdr>
                                                      <w:divsChild>
                                                        <w:div w:id="7318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DATSIMA-Open-data-strategy.PDF" TargetMode="External"/><Relationship Id="rId13" Type="http://schemas.openxmlformats.org/officeDocument/2006/relationships/hyperlink" Target="Attachments/DEWS-Open-Data-Strategy.PDF" TargetMode="External"/><Relationship Id="rId18" Type="http://schemas.openxmlformats.org/officeDocument/2006/relationships/hyperlink" Target="Attachments/DLGCRR-Open-Data-Strategy.PDF" TargetMode="External"/><Relationship Id="rId26" Type="http://schemas.openxmlformats.org/officeDocument/2006/relationships/hyperlink" Target="Attachments/DTMR-Open-Data-Strategy.PDF" TargetMode="External"/><Relationship Id="rId3" Type="http://schemas.openxmlformats.org/officeDocument/2006/relationships/settings" Target="settings.xml"/><Relationship Id="rId21" Type="http://schemas.openxmlformats.org/officeDocument/2006/relationships/hyperlink" Target="Attachments/QPS-Open-Data-Strategy.PDF" TargetMode="External"/><Relationship Id="rId7" Type="http://schemas.openxmlformats.org/officeDocument/2006/relationships/hyperlink" Target="http://www.qld.gov.au/data" TargetMode="External"/><Relationship Id="rId12" Type="http://schemas.openxmlformats.org/officeDocument/2006/relationships/hyperlink" Target="Attachments/DETE-Open-Data-Strategy.PDF" TargetMode="External"/><Relationship Id="rId17" Type="http://schemas.openxmlformats.org/officeDocument/2006/relationships/hyperlink" Target="Attachments/DJAG-Open-Data-Strategy.PDF" TargetMode="External"/><Relationship Id="rId25" Type="http://schemas.openxmlformats.org/officeDocument/2006/relationships/hyperlink" Target="Attachments/DTESB-Open-Data-Strategy.PDF" TargetMode="External"/><Relationship Id="rId2" Type="http://schemas.openxmlformats.org/officeDocument/2006/relationships/styles" Target="styles.xml"/><Relationship Id="rId16" Type="http://schemas.openxmlformats.org/officeDocument/2006/relationships/hyperlink" Target="Attachments/DHPW-Open-Data-Strategy.PDF" TargetMode="External"/><Relationship Id="rId20" Type="http://schemas.openxmlformats.org/officeDocument/2006/relationships/hyperlink" Target="Attachments/DNRM-Open-Data-Strategy.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DCS-Open-data-strategy.PDF" TargetMode="External"/><Relationship Id="rId24" Type="http://schemas.openxmlformats.org/officeDocument/2006/relationships/hyperlink" Target="Attachments/DSDIP-Open-Data-Strategy.PDF" TargetMode="External"/><Relationship Id="rId5" Type="http://schemas.openxmlformats.org/officeDocument/2006/relationships/footnotes" Target="footnotes.xml"/><Relationship Id="rId15" Type="http://schemas.openxmlformats.org/officeDocument/2006/relationships/hyperlink" Target="Attachments/QH-Open-Data-Strategy.PDF" TargetMode="External"/><Relationship Id="rId23" Type="http://schemas.openxmlformats.org/officeDocument/2006/relationships/hyperlink" Target="Attachments/DSITIA-Open-Data-Strategy.PDF" TargetMode="External"/><Relationship Id="rId28" Type="http://schemas.openxmlformats.org/officeDocument/2006/relationships/header" Target="header1.xml"/><Relationship Id="rId10" Type="http://schemas.openxmlformats.org/officeDocument/2006/relationships/hyperlink" Target="Attachments/DCCSDS-Open-Data-Strategy.PDF" TargetMode="External"/><Relationship Id="rId19" Type="http://schemas.openxmlformats.org/officeDocument/2006/relationships/hyperlink" Target="Attachments/DNPRSR-Open-Data-Strategy.PDF" TargetMode="External"/><Relationship Id="rId4" Type="http://schemas.openxmlformats.org/officeDocument/2006/relationships/webSettings" Target="webSettings.xml"/><Relationship Id="rId9" Type="http://schemas.openxmlformats.org/officeDocument/2006/relationships/hyperlink" Target="Attachments/DAFF-Open-Data-Strategy.PDF" TargetMode="External"/><Relationship Id="rId14" Type="http://schemas.openxmlformats.org/officeDocument/2006/relationships/hyperlink" Target="Attachments/DEHP-Open-Data-Strategy.PDF" TargetMode="External"/><Relationship Id="rId22" Type="http://schemas.openxmlformats.org/officeDocument/2006/relationships/hyperlink" Target="Attachments/DPC-Open-Data-Strategy.PDF" TargetMode="External"/><Relationship Id="rId27" Type="http://schemas.openxmlformats.org/officeDocument/2006/relationships/hyperlink" Target="Attachments/QTT-Open-Data-Strategy.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209</Words>
  <Characters>1253</Characters>
  <Application>Microsoft Office Word</Application>
  <DocSecurity>0</DocSecurity>
  <Lines>31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1457</CharactersWithSpaces>
  <SharedDoc>false</SharedDoc>
  <HyperlinkBase>https://www.cabinet.qld.gov.au/documents/2013/May/Open Data/</HyperlinkBase>
  <HLinks>
    <vt:vector size="126" baseType="variant">
      <vt:variant>
        <vt:i4>2490492</vt:i4>
      </vt:variant>
      <vt:variant>
        <vt:i4>60</vt:i4>
      </vt:variant>
      <vt:variant>
        <vt:i4>0</vt:i4>
      </vt:variant>
      <vt:variant>
        <vt:i4>5</vt:i4>
      </vt:variant>
      <vt:variant>
        <vt:lpwstr>Attachments/QTT-Open-Data-Strategy.PDF</vt:lpwstr>
      </vt:variant>
      <vt:variant>
        <vt:lpwstr/>
      </vt:variant>
      <vt:variant>
        <vt:i4>3801208</vt:i4>
      </vt:variant>
      <vt:variant>
        <vt:i4>57</vt:i4>
      </vt:variant>
      <vt:variant>
        <vt:i4>0</vt:i4>
      </vt:variant>
      <vt:variant>
        <vt:i4>5</vt:i4>
      </vt:variant>
      <vt:variant>
        <vt:lpwstr>Attachments/DTMR-Open-Data-Strategy.PDF</vt:lpwstr>
      </vt:variant>
      <vt:variant>
        <vt:lpwstr/>
      </vt:variant>
      <vt:variant>
        <vt:i4>5570586</vt:i4>
      </vt:variant>
      <vt:variant>
        <vt:i4>54</vt:i4>
      </vt:variant>
      <vt:variant>
        <vt:i4>0</vt:i4>
      </vt:variant>
      <vt:variant>
        <vt:i4>5</vt:i4>
      </vt:variant>
      <vt:variant>
        <vt:lpwstr>Attachments/DTESB-Open-Data-Strategy.PDF</vt:lpwstr>
      </vt:variant>
      <vt:variant>
        <vt:lpwstr/>
      </vt:variant>
      <vt:variant>
        <vt:i4>4718601</vt:i4>
      </vt:variant>
      <vt:variant>
        <vt:i4>51</vt:i4>
      </vt:variant>
      <vt:variant>
        <vt:i4>0</vt:i4>
      </vt:variant>
      <vt:variant>
        <vt:i4>5</vt:i4>
      </vt:variant>
      <vt:variant>
        <vt:lpwstr>Attachments/DSDIP-Open-Data-Strategy.PDF</vt:lpwstr>
      </vt:variant>
      <vt:variant>
        <vt:lpwstr/>
      </vt:variant>
      <vt:variant>
        <vt:i4>5898261</vt:i4>
      </vt:variant>
      <vt:variant>
        <vt:i4>48</vt:i4>
      </vt:variant>
      <vt:variant>
        <vt:i4>0</vt:i4>
      </vt:variant>
      <vt:variant>
        <vt:i4>5</vt:i4>
      </vt:variant>
      <vt:variant>
        <vt:lpwstr>Attachments/DSITIA-Open-Data-Strategy.PDF</vt:lpwstr>
      </vt:variant>
      <vt:variant>
        <vt:lpwstr/>
      </vt:variant>
      <vt:variant>
        <vt:i4>2228350</vt:i4>
      </vt:variant>
      <vt:variant>
        <vt:i4>45</vt:i4>
      </vt:variant>
      <vt:variant>
        <vt:i4>0</vt:i4>
      </vt:variant>
      <vt:variant>
        <vt:i4>5</vt:i4>
      </vt:variant>
      <vt:variant>
        <vt:lpwstr>Attachments/DPC-Open-Data-Strategy.PDF</vt:lpwstr>
      </vt:variant>
      <vt:variant>
        <vt:lpwstr/>
      </vt:variant>
      <vt:variant>
        <vt:i4>2228347</vt:i4>
      </vt:variant>
      <vt:variant>
        <vt:i4>42</vt:i4>
      </vt:variant>
      <vt:variant>
        <vt:i4>0</vt:i4>
      </vt:variant>
      <vt:variant>
        <vt:i4>5</vt:i4>
      </vt:variant>
      <vt:variant>
        <vt:lpwstr>Attachments/QPS-Open-Data-Strategy.PDF</vt:lpwstr>
      </vt:variant>
      <vt:variant>
        <vt:lpwstr/>
      </vt:variant>
      <vt:variant>
        <vt:i4>4128871</vt:i4>
      </vt:variant>
      <vt:variant>
        <vt:i4>39</vt:i4>
      </vt:variant>
      <vt:variant>
        <vt:i4>0</vt:i4>
      </vt:variant>
      <vt:variant>
        <vt:i4>5</vt:i4>
      </vt:variant>
      <vt:variant>
        <vt:lpwstr>Attachments/DNRM-Open-Data-Strategy.PDF</vt:lpwstr>
      </vt:variant>
      <vt:variant>
        <vt:lpwstr/>
      </vt:variant>
      <vt:variant>
        <vt:i4>5373974</vt:i4>
      </vt:variant>
      <vt:variant>
        <vt:i4>36</vt:i4>
      </vt:variant>
      <vt:variant>
        <vt:i4>0</vt:i4>
      </vt:variant>
      <vt:variant>
        <vt:i4>5</vt:i4>
      </vt:variant>
      <vt:variant>
        <vt:lpwstr>Attachments/DNPRSR-Open-Data-Strategy.PDF</vt:lpwstr>
      </vt:variant>
      <vt:variant>
        <vt:lpwstr/>
      </vt:variant>
      <vt:variant>
        <vt:i4>4259840</vt:i4>
      </vt:variant>
      <vt:variant>
        <vt:i4>33</vt:i4>
      </vt:variant>
      <vt:variant>
        <vt:i4>0</vt:i4>
      </vt:variant>
      <vt:variant>
        <vt:i4>5</vt:i4>
      </vt:variant>
      <vt:variant>
        <vt:lpwstr>Attachments/DLGCRR-Open-Data-Strategy.PDF</vt:lpwstr>
      </vt:variant>
      <vt:variant>
        <vt:lpwstr/>
      </vt:variant>
      <vt:variant>
        <vt:i4>3211380</vt:i4>
      </vt:variant>
      <vt:variant>
        <vt:i4>30</vt:i4>
      </vt:variant>
      <vt:variant>
        <vt:i4>0</vt:i4>
      </vt:variant>
      <vt:variant>
        <vt:i4>5</vt:i4>
      </vt:variant>
      <vt:variant>
        <vt:lpwstr>Attachments/DJAG-Open-Data-Strategy.PDF</vt:lpwstr>
      </vt:variant>
      <vt:variant>
        <vt:lpwstr/>
      </vt:variant>
      <vt:variant>
        <vt:i4>2293861</vt:i4>
      </vt:variant>
      <vt:variant>
        <vt:i4>27</vt:i4>
      </vt:variant>
      <vt:variant>
        <vt:i4>0</vt:i4>
      </vt:variant>
      <vt:variant>
        <vt:i4>5</vt:i4>
      </vt:variant>
      <vt:variant>
        <vt:lpwstr>Attachments/DHPW-Open-Data-Strategy.PDF</vt:lpwstr>
      </vt:variant>
      <vt:variant>
        <vt:lpwstr/>
      </vt:variant>
      <vt:variant>
        <vt:i4>5505024</vt:i4>
      </vt:variant>
      <vt:variant>
        <vt:i4>24</vt:i4>
      </vt:variant>
      <vt:variant>
        <vt:i4>0</vt:i4>
      </vt:variant>
      <vt:variant>
        <vt:i4>5</vt:i4>
      </vt:variant>
      <vt:variant>
        <vt:lpwstr>Attachments/QH-Open-Data-Strategy.PDF</vt:lpwstr>
      </vt:variant>
      <vt:variant>
        <vt:lpwstr/>
      </vt:variant>
      <vt:variant>
        <vt:i4>2687101</vt:i4>
      </vt:variant>
      <vt:variant>
        <vt:i4>21</vt:i4>
      </vt:variant>
      <vt:variant>
        <vt:i4>0</vt:i4>
      </vt:variant>
      <vt:variant>
        <vt:i4>5</vt:i4>
      </vt:variant>
      <vt:variant>
        <vt:lpwstr>Attachments/DEHP-Open-Data-Strategy.PDF</vt:lpwstr>
      </vt:variant>
      <vt:variant>
        <vt:lpwstr/>
      </vt:variant>
      <vt:variant>
        <vt:i4>2752610</vt:i4>
      </vt:variant>
      <vt:variant>
        <vt:i4>18</vt:i4>
      </vt:variant>
      <vt:variant>
        <vt:i4>0</vt:i4>
      </vt:variant>
      <vt:variant>
        <vt:i4>5</vt:i4>
      </vt:variant>
      <vt:variant>
        <vt:lpwstr>Attachments/DEWS-Open-Data-Strategy.PDF</vt:lpwstr>
      </vt:variant>
      <vt:variant>
        <vt:lpwstr/>
      </vt:variant>
      <vt:variant>
        <vt:i4>3932257</vt:i4>
      </vt:variant>
      <vt:variant>
        <vt:i4>15</vt:i4>
      </vt:variant>
      <vt:variant>
        <vt:i4>0</vt:i4>
      </vt:variant>
      <vt:variant>
        <vt:i4>5</vt:i4>
      </vt:variant>
      <vt:variant>
        <vt:lpwstr>Attachments/DETE-Open-Data-Strategy.PDF</vt:lpwstr>
      </vt:variant>
      <vt:variant>
        <vt:lpwstr/>
      </vt:variant>
      <vt:variant>
        <vt:i4>3211374</vt:i4>
      </vt:variant>
      <vt:variant>
        <vt:i4>12</vt:i4>
      </vt:variant>
      <vt:variant>
        <vt:i4>0</vt:i4>
      </vt:variant>
      <vt:variant>
        <vt:i4>5</vt:i4>
      </vt:variant>
      <vt:variant>
        <vt:lpwstr>Attachments/DCS-Open-data-strategy.PDF</vt:lpwstr>
      </vt:variant>
      <vt:variant>
        <vt:lpwstr/>
      </vt:variant>
      <vt:variant>
        <vt:i4>6225938</vt:i4>
      </vt:variant>
      <vt:variant>
        <vt:i4>9</vt:i4>
      </vt:variant>
      <vt:variant>
        <vt:i4>0</vt:i4>
      </vt:variant>
      <vt:variant>
        <vt:i4>5</vt:i4>
      </vt:variant>
      <vt:variant>
        <vt:lpwstr>Attachments/DCCSDS-Open-Data-Strategy.PDF</vt:lpwstr>
      </vt:variant>
      <vt:variant>
        <vt:lpwstr/>
      </vt:variant>
      <vt:variant>
        <vt:i4>3866739</vt:i4>
      </vt:variant>
      <vt:variant>
        <vt:i4>6</vt:i4>
      </vt:variant>
      <vt:variant>
        <vt:i4>0</vt:i4>
      </vt:variant>
      <vt:variant>
        <vt:i4>5</vt:i4>
      </vt:variant>
      <vt:variant>
        <vt:lpwstr>Attachments/DAFF-Open-Data-Strategy.PDF</vt:lpwstr>
      </vt:variant>
      <vt:variant>
        <vt:lpwstr/>
      </vt:variant>
      <vt:variant>
        <vt:i4>2949217</vt:i4>
      </vt:variant>
      <vt:variant>
        <vt:i4>3</vt:i4>
      </vt:variant>
      <vt:variant>
        <vt:i4>0</vt:i4>
      </vt:variant>
      <vt:variant>
        <vt:i4>5</vt:i4>
      </vt:variant>
      <vt:variant>
        <vt:lpwstr>Attachments/DATSIMA-Open-data-strategy.PDF</vt:lpwstr>
      </vt:variant>
      <vt:variant>
        <vt:lpwstr/>
      </vt:variant>
      <vt:variant>
        <vt:i4>6357046</vt:i4>
      </vt:variant>
      <vt:variant>
        <vt:i4>0</vt:i4>
      </vt:variant>
      <vt:variant>
        <vt:i4>0</vt:i4>
      </vt:variant>
      <vt:variant>
        <vt:i4>5</vt:i4>
      </vt:variant>
      <vt:variant>
        <vt:lpwstr>http://www.qld.gov.au/data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2017-10-25T00:53:00Z</dcterms:created>
  <dcterms:modified xsi:type="dcterms:W3CDTF">2018-03-06T01:20:00Z</dcterms:modified>
  <cp:category>Open_Data,Information_and_Communications_Technology</cp:category>
</cp:coreProperties>
</file>